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C5841" w:rsidRPr="008C5841" w:rsidRDefault="008C5841" w:rsidP="008C584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20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Нова Водолага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>№ 1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8</w:t>
      </w:r>
    </w:p>
    <w:p w:rsidR="008C5841" w:rsidRDefault="008C5841" w:rsidP="008C5841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C5841" w:rsidRPr="0039166C" w:rsidRDefault="008C5841" w:rsidP="008C5841">
      <w:pPr>
        <w:suppressAutoHyphens w:val="0"/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8C5841" w:rsidRPr="00DE192B" w:rsidRDefault="008C5841" w:rsidP="008C5841">
      <w:pPr>
        <w:tabs>
          <w:tab w:val="left" w:pos="4253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8C5841" w:rsidRPr="00D31004" w:rsidRDefault="008C5841" w:rsidP="008C58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166C">
        <w:rPr>
          <w:rFonts w:ascii="Times New Roman" w:hAnsi="Times New Roman" w:cs="Times New Roman"/>
          <w:sz w:val="28"/>
          <w:szCs w:val="28"/>
        </w:rPr>
        <w:t>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eastAsia="uk-UA"/>
        </w:rPr>
        <w:t>.08.2014 р.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14.06.2022 р. №80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22.12.2021р. № 2645-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41" w:rsidRPr="00FA4A27" w:rsidRDefault="008C5841" w:rsidP="008C584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841" w:rsidRPr="0039166C" w:rsidRDefault="008C5841" w:rsidP="008C584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8C5841" w:rsidRPr="00A64F25" w:rsidRDefault="008C5841" w:rsidP="008C5841">
      <w:pPr>
        <w:rPr>
          <w:b/>
          <w:lang w:eastAsia="ru-RU"/>
        </w:rPr>
      </w:pPr>
    </w:p>
    <w:p w:rsidR="008C5841" w:rsidRPr="000B5ABB" w:rsidRDefault="008C5841" w:rsidP="008C584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B5ABB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B5A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;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КПКВК</w:t>
      </w:r>
      <w:r w:rsidRPr="000B5ABB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;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КПКВК</w:t>
      </w:r>
      <w:r w:rsidRPr="000B5ABB">
        <w:rPr>
          <w:rStyle w:val="FontStyle"/>
          <w:rFonts w:ascii="Times New Roman" w:hAnsi="Times New Roman" w:cs="Times New Roman"/>
          <w:sz w:val="28"/>
          <w:szCs w:val="28"/>
        </w:rPr>
        <w:t xml:space="preserve"> 0611031 -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;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lastRenderedPageBreak/>
        <w:t>КПКВК</w:t>
      </w:r>
      <w:r w:rsidRPr="000B5ABB">
        <w:rPr>
          <w:rStyle w:val="FontStyle"/>
          <w:rFonts w:ascii="Times New Roman" w:hAnsi="Times New Roman" w:cs="Times New Roman"/>
          <w:sz w:val="28"/>
          <w:szCs w:val="28"/>
        </w:rPr>
        <w:t xml:space="preserve"> 0611061 -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;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;</w:t>
      </w:r>
    </w:p>
    <w:p w:rsidR="008C5841" w:rsidRPr="000B5ABB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AB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B5ABB">
        <w:rPr>
          <w:rFonts w:ascii="Times New Roman" w:hAnsi="Times New Roman" w:cs="Times New Roman"/>
          <w:sz w:val="28"/>
          <w:szCs w:val="28"/>
        </w:rPr>
        <w:t>.</w:t>
      </w:r>
    </w:p>
    <w:p w:rsidR="008C5841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41" w:rsidRDefault="008C5841" w:rsidP="008C58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41" w:rsidRPr="00A64F25" w:rsidRDefault="008C5841" w:rsidP="008C5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Pr="00E810DB" w:rsidRDefault="00727C7D" w:rsidP="008C5841">
      <w:pPr>
        <w:spacing w:after="0" w:line="240" w:lineRule="auto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6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9238E"/>
    <w:rsid w:val="00694DEE"/>
    <w:rsid w:val="006F21A1"/>
    <w:rsid w:val="006F636A"/>
    <w:rsid w:val="00727C7D"/>
    <w:rsid w:val="00780A34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41F03"/>
    <w:rsid w:val="00CD0D95"/>
    <w:rsid w:val="00D01FD6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36</cp:revision>
  <dcterms:created xsi:type="dcterms:W3CDTF">2022-12-04T17:14:00Z</dcterms:created>
  <dcterms:modified xsi:type="dcterms:W3CDTF">2022-12-04T18:29:00Z</dcterms:modified>
</cp:coreProperties>
</file>